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05E22F01"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EA2F3B">
        <w:rPr>
          <w:szCs w:val="24"/>
        </w:rPr>
        <w:t>05430</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2F1782C4" w:rsidR="0054030B" w:rsidRPr="00B42E8B" w:rsidRDefault="0054030B" w:rsidP="0054030B">
      <w:pPr>
        <w:pStyle w:val="3GPPHeader"/>
        <w:rPr>
          <w:sz w:val="22"/>
        </w:rPr>
      </w:pPr>
      <w:r w:rsidRPr="00B42E8B">
        <w:rPr>
          <w:sz w:val="22"/>
        </w:rPr>
        <w:t>Agenda Item:</w:t>
      </w:r>
      <w:r w:rsidRPr="00B42E8B">
        <w:rPr>
          <w:sz w:val="22"/>
        </w:rPr>
        <w:tab/>
      </w:r>
      <w:r>
        <w:rPr>
          <w:sz w:val="22"/>
        </w:rPr>
        <w:t>10.1</w:t>
      </w:r>
      <w:r w:rsidR="00FF4389">
        <w:rPr>
          <w:sz w:val="22"/>
        </w:rPr>
        <w:t>3.6.3.1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07878A52"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sidR="00FF4389">
        <w:rPr>
          <w:sz w:val="22"/>
        </w:rPr>
        <w:t>PDSCH requirements for NTN</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606B1F79" w14:textId="77777777" w:rsidR="00DA5720" w:rsidRPr="00B42E8B" w:rsidRDefault="00DA5720" w:rsidP="00DA5720">
      <w:pPr>
        <w:pStyle w:val="3GPPHeader"/>
        <w:rPr>
          <w:sz w:val="22"/>
        </w:rPr>
      </w:pPr>
    </w:p>
    <w:p w14:paraId="08A35773" w14:textId="77777777" w:rsidR="00DA5720" w:rsidRPr="0092180D" w:rsidRDefault="00DA5720" w:rsidP="00DA5720">
      <w:pPr>
        <w:pStyle w:val="Heading1"/>
        <w:jc w:val="both"/>
        <w:rPr>
          <w:lang w:val="en-US"/>
        </w:rPr>
      </w:pPr>
      <w:r w:rsidRPr="0092180D">
        <w:rPr>
          <w:lang w:val="en-US"/>
        </w:rPr>
        <w:t>1</w:t>
      </w:r>
      <w:r w:rsidRPr="0092180D">
        <w:rPr>
          <w:lang w:val="en-US"/>
        </w:rPr>
        <w:tab/>
        <w:t>Introduction</w:t>
      </w:r>
    </w:p>
    <w:p w14:paraId="512FA904" w14:textId="09328486" w:rsidR="003D223E" w:rsidRDefault="00130402">
      <w:r>
        <w:t>An WF</w:t>
      </w:r>
      <w:r w:rsidR="00D239DF">
        <w:t xml:space="preserve"> [1]</w:t>
      </w:r>
      <w:r>
        <w:t xml:space="preserve"> has been approved to carrier out all the agreements achieved during the last RAN4 meeting’s discussion. However, there are still some open issues left for further discussion. </w:t>
      </w:r>
    </w:p>
    <w:p w14:paraId="4291DF1F" w14:textId="36FA33C7" w:rsidR="00DA5720" w:rsidRDefault="00130402">
      <w:r>
        <w:t>In this contribution, we shared our views on those open issues and gave our proposals after the discussion.</w:t>
      </w:r>
    </w:p>
    <w:p w14:paraId="4CC1F81E" w14:textId="77777777" w:rsidR="00DA5720" w:rsidRDefault="00DA5720" w:rsidP="00DA5720">
      <w:pPr>
        <w:pStyle w:val="Heading1"/>
        <w:jc w:val="both"/>
        <w:rPr>
          <w:lang w:val="en-US"/>
        </w:rPr>
      </w:pPr>
      <w:r w:rsidRPr="0092180D">
        <w:rPr>
          <w:lang w:val="en-US"/>
        </w:rPr>
        <w:t>2</w:t>
      </w:r>
      <w:r w:rsidRPr="0092180D">
        <w:rPr>
          <w:lang w:val="en-US"/>
        </w:rPr>
        <w:tab/>
      </w:r>
      <w:r>
        <w:rPr>
          <w:lang w:val="en-US"/>
        </w:rPr>
        <w:t>Discussion</w:t>
      </w:r>
    </w:p>
    <w:p w14:paraId="2DA1CB50" w14:textId="260E25EC" w:rsidR="00EA127F" w:rsidRPr="001117BC" w:rsidRDefault="001117BC" w:rsidP="00EA127F">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Pr="001117BC">
        <w:rPr>
          <w:rFonts w:ascii="Arial" w:eastAsia="MS Mincho" w:hAnsi="Arial" w:cs="Times New Roman"/>
          <w:sz w:val="32"/>
          <w:szCs w:val="20"/>
          <w:lang w:val="en-GB" w:eastAsia="ja-JP"/>
        </w:rPr>
        <w:t>Satellite-based NTN scenarios</w:t>
      </w:r>
    </w:p>
    <w:p w14:paraId="0CB0B574" w14:textId="26567768" w:rsidR="00EA127F" w:rsidRDefault="00EA127F">
      <w:r>
        <w:t>Companies agreed on following way forwards:</w:t>
      </w:r>
    </w:p>
    <w:tbl>
      <w:tblPr>
        <w:tblStyle w:val="TableGrid"/>
        <w:tblW w:w="0" w:type="auto"/>
        <w:tblLook w:val="04A0" w:firstRow="1" w:lastRow="0" w:firstColumn="1" w:lastColumn="0" w:noHBand="0" w:noVBand="1"/>
      </w:tblPr>
      <w:tblGrid>
        <w:gridCol w:w="9350"/>
      </w:tblGrid>
      <w:tr w:rsidR="00EA127F" w14:paraId="3F9031E2" w14:textId="77777777" w:rsidTr="00EA127F">
        <w:tc>
          <w:tcPr>
            <w:tcW w:w="9350" w:type="dxa"/>
          </w:tcPr>
          <w:p w14:paraId="51B64E36" w14:textId="77777777" w:rsidR="00EA127F" w:rsidRPr="008F3D19" w:rsidRDefault="00EA127F" w:rsidP="00EA127F">
            <w:pPr>
              <w:pStyle w:val="ListParagraph"/>
              <w:numPr>
                <w:ilvl w:val="0"/>
                <w:numId w:val="2"/>
              </w:numPr>
              <w:spacing w:after="240"/>
              <w:ind w:firstLineChars="0"/>
              <w:rPr>
                <w:rFonts w:ascii="Times New Roman" w:hAnsi="Times New Roman" w:cs="Times New Roman"/>
                <w:lang w:val="en-GB"/>
              </w:rPr>
            </w:pPr>
            <w:r w:rsidRPr="008F3D19">
              <w:rPr>
                <w:rFonts w:ascii="Times New Roman" w:hAnsi="Times New Roman" w:cs="Times New Roman"/>
                <w:lang w:val="en-GB"/>
              </w:rPr>
              <w:t xml:space="preserve">Issue 3-1-2: </w:t>
            </w:r>
            <w:bookmarkStart w:id="3" w:name="_Hlk95311064"/>
            <w:r w:rsidRPr="008F3D19">
              <w:rPr>
                <w:rFonts w:ascii="Times New Roman" w:hAnsi="Times New Roman" w:cs="Times New Roman"/>
                <w:lang w:val="en-GB"/>
              </w:rPr>
              <w:t xml:space="preserve">Satellite-based NTN and HAPS scenarios </w:t>
            </w:r>
            <w:bookmarkEnd w:id="3"/>
          </w:p>
          <w:p w14:paraId="59E34E59" w14:textId="77777777" w:rsidR="00EA127F" w:rsidRPr="0068741F" w:rsidRDefault="00EA127F" w:rsidP="00EA127F">
            <w:pPr>
              <w:pStyle w:val="ListParagraph"/>
              <w:numPr>
                <w:ilvl w:val="1"/>
                <w:numId w:val="2"/>
              </w:numPr>
              <w:spacing w:after="240"/>
              <w:ind w:firstLineChars="0"/>
              <w:rPr>
                <w:rFonts w:ascii="Times New Roman" w:hAnsi="Times New Roman" w:cs="Times New Roman"/>
              </w:rPr>
            </w:pPr>
            <w:r w:rsidRPr="00CB3787">
              <w:rPr>
                <w:rFonts w:ascii="Times New Roman" w:hAnsi="Times New Roman" w:cs="Times New Roman"/>
              </w:rPr>
              <w:t>Agreement:</w:t>
            </w:r>
          </w:p>
          <w:p w14:paraId="06D54A4D" w14:textId="13B2E5AA" w:rsidR="00EA127F" w:rsidRPr="00EA127F" w:rsidRDefault="00EA127F" w:rsidP="00EA127F">
            <w:pPr>
              <w:pStyle w:val="ListParagraph"/>
              <w:numPr>
                <w:ilvl w:val="2"/>
                <w:numId w:val="2"/>
              </w:numPr>
              <w:spacing w:after="240"/>
              <w:ind w:firstLineChars="0"/>
              <w:rPr>
                <w:rFonts w:ascii="Times New Roman" w:hAnsi="Times New Roman" w:cs="Times New Roman"/>
              </w:rPr>
            </w:pPr>
            <w:r w:rsidRPr="005B17A0">
              <w:rPr>
                <w:rFonts w:ascii="Times New Roman" w:hAnsi="Times New Roman" w:cs="Times New Roman"/>
                <w:highlight w:val="yellow"/>
              </w:rPr>
              <w:t>Further discuss whether RAN4 to define the sperate requirements for GEO and LEO.</w:t>
            </w:r>
            <w:r>
              <w:rPr>
                <w:rFonts w:ascii="Times New Roman" w:hAnsi="Times New Roman" w:cs="Times New Roman"/>
              </w:rPr>
              <w:t xml:space="preserve"> Lower priority for HAPS. </w:t>
            </w:r>
            <w:r w:rsidRPr="00B769A3">
              <w:rPr>
                <w:rFonts w:ascii="Times New Roman" w:hAnsi="Times New Roman" w:cs="Times New Roman"/>
              </w:rPr>
              <w:t xml:space="preserve"> </w:t>
            </w:r>
          </w:p>
        </w:tc>
      </w:tr>
    </w:tbl>
    <w:p w14:paraId="3F03A19E" w14:textId="77777777" w:rsidR="00EA127F" w:rsidRDefault="00EA127F"/>
    <w:p w14:paraId="224FA895" w14:textId="07D18A3B" w:rsidR="00794F35" w:rsidRDefault="00794F35">
      <w:r>
        <w:t>GEO and LEO deployment have quite different properties</w:t>
      </w:r>
      <w:r w:rsidR="009417ED">
        <w:t>, e.g.: altitude, speed, etc.</w:t>
      </w:r>
    </w:p>
    <w:p w14:paraId="6EBC797A" w14:textId="6EF42A90" w:rsidR="006C4498" w:rsidRDefault="009417ED">
      <w:r>
        <w:t>Besides, another</w:t>
      </w:r>
      <w:r w:rsidR="006C4498">
        <w:t xml:space="preserve"> important parameter is </w:t>
      </w:r>
      <w:proofErr w:type="spellStart"/>
      <w:r w:rsidR="006C4498">
        <w:t>k_offset</w:t>
      </w:r>
      <w:proofErr w:type="spellEnd"/>
      <w:r w:rsidR="006C4498">
        <w:t xml:space="preserve">, since </w:t>
      </w:r>
      <w:proofErr w:type="spellStart"/>
      <w:r w:rsidR="006C4498">
        <w:t>k_offset</w:t>
      </w:r>
      <w:proofErr w:type="spellEnd"/>
      <w:r w:rsidR="006C4498">
        <w:t xml:space="preserve"> </w:t>
      </w:r>
      <w:r w:rsidR="00794F35">
        <w:t xml:space="preserve">is only for NTN scenario and does not exist in defining TN requirements. Meanwhile, </w:t>
      </w:r>
      <w:proofErr w:type="spellStart"/>
      <w:r w:rsidR="00794F35" w:rsidRPr="00794F35">
        <w:t>K_offset</w:t>
      </w:r>
      <w:proofErr w:type="spellEnd"/>
      <w:r w:rsidR="00794F35" w:rsidRPr="00794F35">
        <w:t xml:space="preserve"> </w:t>
      </w:r>
      <w:r w:rsidR="00794F35">
        <w:t>can</w:t>
      </w:r>
      <w:r w:rsidR="00794F35" w:rsidRPr="00794F35">
        <w:t xml:space="preserve"> be different between GEO and LEO </w:t>
      </w:r>
      <w:r w:rsidR="00794F35">
        <w:t xml:space="preserve">deployments </w:t>
      </w:r>
      <w:r w:rsidR="00794F35" w:rsidRPr="00794F35">
        <w:t>due</w:t>
      </w:r>
      <w:r w:rsidR="00794F35">
        <w:t xml:space="preserve"> to different</w:t>
      </w:r>
      <w:r w:rsidR="00794F35" w:rsidRPr="00794F35">
        <w:t xml:space="preserve"> propagation time.</w:t>
      </w:r>
      <w:r w:rsidR="00794F35">
        <w:t xml:space="preserve"> In this case, we find necessity to have different performance requirement for GEO and LEO deployments. </w:t>
      </w:r>
    </w:p>
    <w:p w14:paraId="424AD724" w14:textId="5230CEDD" w:rsidR="00794F35" w:rsidRDefault="00794F35" w:rsidP="00794F35">
      <w:r w:rsidRPr="006C4498">
        <w:t xml:space="preserve">We propose to first evaluate both scenarios and to see if there is </w:t>
      </w:r>
      <w:r w:rsidR="009417ED">
        <w:t xml:space="preserve">non-negligible </w:t>
      </w:r>
      <w:r w:rsidRPr="006C4498">
        <w:t>performance difference. If so, then separate performance requirement is needed. Otherwise, we can consider define one requirement for either GEO or LEO deployment.</w:t>
      </w:r>
    </w:p>
    <w:p w14:paraId="763027AC" w14:textId="65C53EF3" w:rsidR="00794F35" w:rsidRPr="007F5CE0" w:rsidRDefault="007F5CE0">
      <w:pPr>
        <w:rPr>
          <w:b/>
          <w:bCs/>
          <w:i/>
          <w:iCs/>
        </w:rPr>
      </w:pPr>
      <w:r w:rsidRPr="007F5CE0">
        <w:rPr>
          <w:b/>
          <w:bCs/>
          <w:i/>
          <w:iCs/>
        </w:rPr>
        <w:lastRenderedPageBreak/>
        <w:t>Proposal 1: Evaluate both scenarios and to see if there is non-negligible performance difference. If so, then separate performance requirement is needed.</w:t>
      </w:r>
    </w:p>
    <w:p w14:paraId="67DAE889" w14:textId="709BF52E" w:rsidR="001117BC" w:rsidRPr="001117BC" w:rsidRDefault="001117BC" w:rsidP="001117BC">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2.2 Enhancement on HARQ</w:t>
      </w:r>
    </w:p>
    <w:p w14:paraId="2A19EAA3" w14:textId="038A8C9A" w:rsidR="001117BC" w:rsidRDefault="000A2B90">
      <w:r>
        <w:rPr>
          <w:lang w:val="en-GB"/>
        </w:rPr>
        <w:t xml:space="preserve">Companies agreed on the following way forward for </w:t>
      </w:r>
      <w:r w:rsidR="006D0FAE">
        <w:rPr>
          <w:lang w:val="en-GB"/>
        </w:rPr>
        <w:t>enhancement on HARQ:</w:t>
      </w:r>
    </w:p>
    <w:tbl>
      <w:tblPr>
        <w:tblStyle w:val="TableGrid"/>
        <w:tblW w:w="0" w:type="auto"/>
        <w:tblLook w:val="04A0" w:firstRow="1" w:lastRow="0" w:firstColumn="1" w:lastColumn="0" w:noHBand="0" w:noVBand="1"/>
      </w:tblPr>
      <w:tblGrid>
        <w:gridCol w:w="9350"/>
      </w:tblGrid>
      <w:tr w:rsidR="000A2B90" w14:paraId="78F6495A" w14:textId="77777777" w:rsidTr="000A2B90">
        <w:tc>
          <w:tcPr>
            <w:tcW w:w="9350" w:type="dxa"/>
          </w:tcPr>
          <w:p w14:paraId="68477292" w14:textId="77777777" w:rsidR="000A2B90" w:rsidRDefault="000A2B90" w:rsidP="000A2B90">
            <w:pPr>
              <w:pStyle w:val="ListParagraph"/>
              <w:numPr>
                <w:ilvl w:val="0"/>
                <w:numId w:val="2"/>
              </w:numPr>
              <w:spacing w:after="240"/>
              <w:ind w:firstLineChars="0"/>
              <w:rPr>
                <w:rFonts w:ascii="Times New Roman" w:hAnsi="Times New Roman" w:cs="Times New Roman"/>
                <w:lang w:val="en-GB"/>
              </w:rPr>
            </w:pPr>
            <w:r w:rsidRPr="00400A5B">
              <w:rPr>
                <w:rFonts w:ascii="Times New Roman" w:hAnsi="Times New Roman" w:cs="Times New Roman"/>
                <w:lang w:val="en-GB"/>
              </w:rPr>
              <w:t>Issue 3-1-4: Enhancement on HARQ</w:t>
            </w:r>
          </w:p>
          <w:p w14:paraId="18032E52" w14:textId="77777777" w:rsidR="000A2B90" w:rsidRDefault="000A2B90" w:rsidP="000A2B90">
            <w:pPr>
              <w:pStyle w:val="ListParagraph"/>
              <w:numPr>
                <w:ilvl w:val="1"/>
                <w:numId w:val="2"/>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4D14CD1D" w14:textId="77777777" w:rsidR="000A2B90" w:rsidRDefault="000A2B90" w:rsidP="000A2B90">
            <w:pPr>
              <w:pStyle w:val="ListParagraph"/>
              <w:numPr>
                <w:ilvl w:val="2"/>
                <w:numId w:val="2"/>
              </w:numPr>
              <w:spacing w:after="240"/>
              <w:ind w:firstLineChars="0"/>
              <w:rPr>
                <w:rFonts w:ascii="Times New Roman" w:hAnsi="Times New Roman" w:cs="Times New Roman"/>
                <w:lang w:val="en-GB"/>
              </w:rPr>
            </w:pPr>
            <w:r w:rsidRPr="00F61EF4">
              <w:rPr>
                <w:rFonts w:ascii="Times New Roman" w:hAnsi="Times New Roman" w:cs="Times New Roman"/>
                <w:lang w:val="en-GB"/>
              </w:rPr>
              <w:t>Define PDSCH performance requirements with HARQ Processes 32</w:t>
            </w:r>
          </w:p>
          <w:p w14:paraId="320DBCC2" w14:textId="77777777" w:rsidR="000A2B90" w:rsidRDefault="000A2B90" w:rsidP="000A2B90">
            <w:pPr>
              <w:pStyle w:val="ListParagraph"/>
              <w:numPr>
                <w:ilvl w:val="3"/>
                <w:numId w:val="2"/>
              </w:numPr>
              <w:spacing w:after="240"/>
              <w:ind w:firstLineChars="0"/>
              <w:rPr>
                <w:rFonts w:ascii="Times New Roman" w:hAnsi="Times New Roman" w:cs="Times New Roman"/>
                <w:lang w:val="en-GB"/>
              </w:rPr>
            </w:pPr>
            <w:r>
              <w:rPr>
                <w:rFonts w:ascii="Times New Roman" w:hAnsi="Times New Roman" w:cs="Times New Roman" w:hint="eastAsia"/>
                <w:lang w:val="en-GB"/>
              </w:rPr>
              <w:t>De</w:t>
            </w:r>
            <w:r>
              <w:rPr>
                <w:rFonts w:ascii="Times New Roman" w:hAnsi="Times New Roman" w:cs="Times New Roman"/>
                <w:lang w:val="en-GB"/>
              </w:rPr>
              <w:t>fine applicability rule that t</w:t>
            </w:r>
            <w:r w:rsidRPr="00416E24">
              <w:rPr>
                <w:rFonts w:ascii="Times New Roman" w:hAnsi="Times New Roman" w:cs="Times New Roman"/>
                <w:lang w:val="en-GB"/>
              </w:rPr>
              <w:t xml:space="preserve">he </w:t>
            </w:r>
            <w:r>
              <w:rPr>
                <w:rFonts w:ascii="Times New Roman" w:hAnsi="Times New Roman" w:cs="Times New Roman"/>
                <w:lang w:val="en-GB"/>
              </w:rPr>
              <w:t xml:space="preserve">PDSCH </w:t>
            </w:r>
            <w:r w:rsidRPr="00416E24">
              <w:rPr>
                <w:rFonts w:ascii="Times New Roman" w:hAnsi="Times New Roman" w:cs="Times New Roman"/>
                <w:lang w:val="en-GB"/>
              </w:rPr>
              <w:t xml:space="preserve">performance requirements </w:t>
            </w:r>
            <w:r w:rsidRPr="00F61EF4">
              <w:rPr>
                <w:rFonts w:ascii="Times New Roman" w:hAnsi="Times New Roman" w:cs="Times New Roman"/>
                <w:lang w:val="en-GB"/>
              </w:rPr>
              <w:t>with HARQ Processes 32</w:t>
            </w:r>
            <w:r w:rsidRPr="00416E24">
              <w:rPr>
                <w:rFonts w:ascii="Times New Roman" w:hAnsi="Times New Roman" w:cs="Times New Roman"/>
                <w:lang w:val="en-GB"/>
              </w:rPr>
              <w:t xml:space="preserve"> shall apply for UEs which support </w:t>
            </w:r>
            <w:r>
              <w:rPr>
                <w:rFonts w:ascii="Times New Roman" w:hAnsi="Times New Roman" w:cs="Times New Roman"/>
                <w:lang w:val="en-GB"/>
              </w:rPr>
              <w:t>RAN1 UE feature “</w:t>
            </w:r>
            <w:r w:rsidRPr="00416E24">
              <w:rPr>
                <w:rFonts w:ascii="Times New Roman" w:hAnsi="Times New Roman" w:cs="Times New Roman"/>
                <w:lang w:val="en-GB"/>
              </w:rPr>
              <w:t>26-5</w:t>
            </w:r>
            <w:r w:rsidRPr="00416E24">
              <w:rPr>
                <w:rFonts w:ascii="Times New Roman" w:hAnsi="Times New Roman" w:cs="Times New Roman"/>
                <w:lang w:val="en-GB"/>
              </w:rPr>
              <w:tab/>
              <w:t>Increasing the number of HARQ processes</w:t>
            </w:r>
            <w:r>
              <w:rPr>
                <w:rFonts w:ascii="Times New Roman" w:hAnsi="Times New Roman" w:cs="Times New Roman"/>
                <w:lang w:val="en-GB"/>
              </w:rPr>
              <w:t>”</w:t>
            </w:r>
            <w:r w:rsidRPr="00416E24">
              <w:rPr>
                <w:rFonts w:ascii="Times New Roman" w:hAnsi="Times New Roman" w:cs="Times New Roman"/>
                <w:lang w:val="en-GB"/>
              </w:rPr>
              <w:t xml:space="preserve"> only.</w:t>
            </w:r>
          </w:p>
          <w:p w14:paraId="540F358B" w14:textId="77777777" w:rsidR="000A2B90" w:rsidRDefault="000A2B90" w:rsidP="000A2B90">
            <w:pPr>
              <w:pStyle w:val="ListParagraph"/>
              <w:numPr>
                <w:ilvl w:val="2"/>
                <w:numId w:val="2"/>
              </w:numPr>
              <w:spacing w:after="240"/>
              <w:ind w:firstLineChars="0"/>
              <w:rPr>
                <w:rFonts w:ascii="Times New Roman" w:hAnsi="Times New Roman" w:cs="Times New Roman"/>
                <w:lang w:val="en-GB"/>
              </w:rPr>
            </w:pPr>
            <w:r>
              <w:rPr>
                <w:rFonts w:ascii="Times New Roman" w:hAnsi="Times New Roman" w:cs="Times New Roman"/>
                <w:lang w:val="en-GB"/>
              </w:rPr>
              <w:t>Define</w:t>
            </w:r>
            <w:r w:rsidRPr="00937494">
              <w:rPr>
                <w:rFonts w:ascii="Times New Roman" w:hAnsi="Times New Roman" w:cs="Times New Roman"/>
                <w:lang w:val="en-GB"/>
              </w:rPr>
              <w:t xml:space="preserve"> PDSCH performance requirements with disabled</w:t>
            </w:r>
            <w:r>
              <w:rPr>
                <w:rFonts w:ascii="Times New Roman" w:hAnsi="Times New Roman" w:cs="Times New Roman"/>
                <w:lang w:val="en-GB"/>
              </w:rPr>
              <w:t xml:space="preserve"> </w:t>
            </w:r>
            <w:r w:rsidRPr="001076F6">
              <w:rPr>
                <w:rFonts w:ascii="Times New Roman" w:hAnsi="Times New Roman" w:cs="Times New Roman"/>
                <w:lang w:val="en-GB"/>
              </w:rPr>
              <w:t>HARQ</w:t>
            </w:r>
            <w:r>
              <w:rPr>
                <w:rFonts w:ascii="Times New Roman" w:hAnsi="Times New Roman" w:cs="Times New Roman"/>
                <w:lang w:val="en-GB"/>
              </w:rPr>
              <w:t>. The disable HARQ processes number is FFS.</w:t>
            </w:r>
          </w:p>
          <w:p w14:paraId="6685F1E1" w14:textId="77777777" w:rsidR="000A2B90" w:rsidRPr="00416E24" w:rsidRDefault="000A2B90" w:rsidP="000A2B90">
            <w:pPr>
              <w:pStyle w:val="ListParagraph"/>
              <w:numPr>
                <w:ilvl w:val="3"/>
                <w:numId w:val="2"/>
              </w:numPr>
              <w:spacing w:after="240"/>
              <w:ind w:firstLineChars="0"/>
              <w:rPr>
                <w:rFonts w:ascii="Times New Roman" w:hAnsi="Times New Roman" w:cs="Times New Roman"/>
                <w:lang w:val="en-GB"/>
              </w:rPr>
            </w:pPr>
            <w:r>
              <w:rPr>
                <w:rFonts w:ascii="Times New Roman" w:hAnsi="Times New Roman" w:cs="Times New Roman"/>
                <w:lang w:val="en-GB"/>
              </w:rPr>
              <w:t xml:space="preserve">FFS applicability rule after RAN1 make agreement on UE feature about the </w:t>
            </w:r>
            <w:r w:rsidRPr="00937494">
              <w:rPr>
                <w:rFonts w:ascii="Times New Roman" w:hAnsi="Times New Roman" w:cs="Times New Roman"/>
                <w:lang w:val="en-GB"/>
              </w:rPr>
              <w:t>disabled</w:t>
            </w:r>
            <w:r>
              <w:rPr>
                <w:rFonts w:ascii="Times New Roman" w:hAnsi="Times New Roman" w:cs="Times New Roman"/>
                <w:lang w:val="en-GB"/>
              </w:rPr>
              <w:t xml:space="preserve"> </w:t>
            </w:r>
            <w:r w:rsidRPr="001076F6">
              <w:rPr>
                <w:rFonts w:ascii="Times New Roman" w:hAnsi="Times New Roman" w:cs="Times New Roman"/>
                <w:lang w:val="en-GB"/>
              </w:rPr>
              <w:t>HARQ</w:t>
            </w:r>
            <w:r>
              <w:rPr>
                <w:rFonts w:ascii="Times New Roman" w:hAnsi="Times New Roman" w:cs="Times New Roman"/>
                <w:lang w:val="en-GB"/>
              </w:rPr>
              <w:t>.</w:t>
            </w:r>
          </w:p>
          <w:p w14:paraId="3B9D4384" w14:textId="77777777" w:rsidR="000A2B90" w:rsidRDefault="000A2B90" w:rsidP="000A2B90">
            <w:pPr>
              <w:pStyle w:val="ListParagraph"/>
              <w:numPr>
                <w:ilvl w:val="2"/>
                <w:numId w:val="2"/>
              </w:numPr>
              <w:spacing w:after="240"/>
              <w:ind w:firstLineChars="0"/>
              <w:rPr>
                <w:rFonts w:ascii="Times New Roman" w:hAnsi="Times New Roman" w:cs="Times New Roman"/>
                <w:lang w:val="en-GB"/>
              </w:rPr>
            </w:pPr>
            <w:r w:rsidRPr="00C5420F">
              <w:rPr>
                <w:rFonts w:ascii="Times New Roman" w:hAnsi="Times New Roman" w:cs="Times New Roman"/>
                <w:lang w:val="en-GB"/>
              </w:rPr>
              <w:t>FFS on test method for PDSCH test with disabled HARQ feedback</w:t>
            </w:r>
            <w:r>
              <w:rPr>
                <w:rFonts w:ascii="Times New Roman" w:hAnsi="Times New Roman" w:cs="Times New Roman"/>
                <w:lang w:val="en-GB"/>
              </w:rPr>
              <w:t>. The candidate options are:</w:t>
            </w:r>
          </w:p>
          <w:p w14:paraId="1B3405AF" w14:textId="77777777" w:rsidR="000A2B90" w:rsidRDefault="000A2B90" w:rsidP="000A2B90">
            <w:pPr>
              <w:pStyle w:val="ListParagraph"/>
              <w:numPr>
                <w:ilvl w:val="3"/>
                <w:numId w:val="2"/>
              </w:numPr>
              <w:spacing w:after="240"/>
              <w:ind w:firstLineChars="0"/>
              <w:rPr>
                <w:rFonts w:ascii="Times New Roman" w:hAnsi="Times New Roman" w:cs="Times New Roman"/>
                <w:lang w:val="en-GB"/>
              </w:rPr>
            </w:pPr>
            <w:r>
              <w:rPr>
                <w:rFonts w:ascii="Times New Roman" w:hAnsi="Times New Roman" w:cs="Times New Roman"/>
                <w:lang w:val="en-GB"/>
              </w:rPr>
              <w:t>Option 1: Disabled HARQ can be tested with the number of re-Tx set to 1</w:t>
            </w:r>
          </w:p>
          <w:p w14:paraId="35CABF2D" w14:textId="77777777" w:rsidR="000A2B90" w:rsidRPr="00CF0BC9" w:rsidRDefault="000A2B90" w:rsidP="000A2B90">
            <w:pPr>
              <w:pStyle w:val="ListParagraph"/>
              <w:numPr>
                <w:ilvl w:val="3"/>
                <w:numId w:val="2"/>
              </w:numPr>
              <w:spacing w:after="240"/>
              <w:ind w:firstLineChars="0"/>
              <w:rPr>
                <w:rFonts w:ascii="Times New Roman" w:hAnsi="Times New Roman" w:cs="Times New Roman"/>
                <w:lang w:val="en-GB"/>
              </w:rPr>
            </w:pPr>
            <w:r>
              <w:rPr>
                <w:rFonts w:ascii="Times New Roman" w:hAnsi="Times New Roman" w:cs="Times New Roman"/>
                <w:lang w:val="en-GB"/>
              </w:rPr>
              <w:t>Option 2: other option is not precluded.</w:t>
            </w:r>
          </w:p>
          <w:p w14:paraId="363A630A" w14:textId="77777777" w:rsidR="000A2B90" w:rsidRPr="000A2B90" w:rsidRDefault="000A2B90">
            <w:pPr>
              <w:rPr>
                <w:lang w:val="en-GB"/>
              </w:rPr>
            </w:pPr>
          </w:p>
        </w:tc>
      </w:tr>
    </w:tbl>
    <w:p w14:paraId="07140B7E" w14:textId="77777777" w:rsidR="000A2B90" w:rsidRDefault="000A2B90"/>
    <w:p w14:paraId="41D7A274" w14:textId="68DA96A7" w:rsidR="001117BC" w:rsidRDefault="000419E0">
      <w:r>
        <w:t xml:space="preserve">From UE demodulation perspective, two separate test cases are needed for testing the HARQ process 32 and disable HARQ. While the applicability rule discussion shall be postponed until there is an agreement on UE feature about the disable HARQ. </w:t>
      </w:r>
    </w:p>
    <w:p w14:paraId="24D2748A" w14:textId="27DB32BE" w:rsidR="000419E0" w:rsidRDefault="000419E0">
      <w:r>
        <w:t xml:space="preserve">For the test method for PDSCH test with disable HARQ feedback, we think option 1 can be a start to do the initial evaluation. </w:t>
      </w:r>
    </w:p>
    <w:p w14:paraId="04F02273" w14:textId="33C715F7" w:rsidR="000419E0" w:rsidRPr="000419E0" w:rsidRDefault="000419E0">
      <w:pPr>
        <w:rPr>
          <w:b/>
          <w:bCs/>
          <w:i/>
          <w:iCs/>
        </w:rPr>
      </w:pPr>
      <w:r w:rsidRPr="000419E0">
        <w:rPr>
          <w:b/>
          <w:bCs/>
          <w:i/>
          <w:iCs/>
        </w:rPr>
        <w:t>Proposal 2: Take option 1 as a start to do the initial evaluation.</w:t>
      </w:r>
    </w:p>
    <w:p w14:paraId="3567C964" w14:textId="175372A4" w:rsidR="001117BC" w:rsidRPr="00471ED0" w:rsidRDefault="001117BC" w:rsidP="00471ED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471ED0">
        <w:rPr>
          <w:rFonts w:ascii="Arial" w:eastAsia="MS Mincho" w:hAnsi="Arial" w:cs="Times New Roman"/>
          <w:sz w:val="32"/>
          <w:szCs w:val="20"/>
          <w:lang w:val="en-GB" w:eastAsia="ja-JP"/>
        </w:rPr>
        <w:t>2.3 Channel model</w:t>
      </w:r>
    </w:p>
    <w:p w14:paraId="7761AE47" w14:textId="3981CD1A" w:rsidR="001117BC" w:rsidRDefault="00471ED0">
      <w:pPr>
        <w:rPr>
          <w:lang w:val="en-GB"/>
        </w:rPr>
      </w:pPr>
      <w:r>
        <w:rPr>
          <w:lang w:val="en-GB"/>
        </w:rPr>
        <w:t>Companies agreed on the following way forward for channel model:</w:t>
      </w:r>
    </w:p>
    <w:tbl>
      <w:tblPr>
        <w:tblStyle w:val="TableGrid"/>
        <w:tblW w:w="0" w:type="auto"/>
        <w:tblLook w:val="04A0" w:firstRow="1" w:lastRow="0" w:firstColumn="1" w:lastColumn="0" w:noHBand="0" w:noVBand="1"/>
      </w:tblPr>
      <w:tblGrid>
        <w:gridCol w:w="9350"/>
      </w:tblGrid>
      <w:tr w:rsidR="00471ED0" w14:paraId="00DD186A" w14:textId="77777777" w:rsidTr="00471ED0">
        <w:tc>
          <w:tcPr>
            <w:tcW w:w="9350" w:type="dxa"/>
          </w:tcPr>
          <w:p w14:paraId="532F6C6B" w14:textId="77777777" w:rsidR="00471ED0" w:rsidRDefault="00471ED0" w:rsidP="00471ED0">
            <w:pPr>
              <w:pStyle w:val="ListParagraph"/>
              <w:numPr>
                <w:ilvl w:val="0"/>
                <w:numId w:val="2"/>
              </w:numPr>
              <w:spacing w:after="240"/>
              <w:ind w:firstLineChars="0"/>
              <w:rPr>
                <w:rFonts w:ascii="Times New Roman" w:hAnsi="Times New Roman" w:cs="Times New Roman"/>
                <w:lang w:val="en-GB"/>
              </w:rPr>
            </w:pPr>
            <w:r w:rsidRPr="009E5087">
              <w:rPr>
                <w:rFonts w:ascii="Times New Roman" w:hAnsi="Times New Roman" w:cs="Times New Roman"/>
                <w:lang w:val="en-GB"/>
              </w:rPr>
              <w:t xml:space="preserve">Issue 3-2-1: Channel model </w:t>
            </w:r>
          </w:p>
          <w:p w14:paraId="5D5F1485" w14:textId="77777777" w:rsidR="00471ED0" w:rsidRPr="009E5087" w:rsidRDefault="00471ED0" w:rsidP="00471ED0">
            <w:pPr>
              <w:pStyle w:val="ListParagraph"/>
              <w:numPr>
                <w:ilvl w:val="1"/>
                <w:numId w:val="2"/>
              </w:numPr>
              <w:spacing w:after="240"/>
              <w:ind w:firstLineChars="0"/>
              <w:rPr>
                <w:rFonts w:ascii="Times New Roman" w:hAnsi="Times New Roman" w:cs="Times New Roman"/>
                <w:lang w:val="en-GB"/>
              </w:rPr>
            </w:pPr>
            <w:r w:rsidRPr="009E5087">
              <w:rPr>
                <w:rFonts w:ascii="Times New Roman" w:hAnsi="Times New Roman" w:cs="Times New Roman"/>
                <w:lang w:val="en-GB"/>
              </w:rPr>
              <w:t>Agreement:</w:t>
            </w:r>
          </w:p>
          <w:p w14:paraId="26D62884" w14:textId="4D51C820" w:rsidR="00471ED0" w:rsidRPr="00471ED0" w:rsidRDefault="00471ED0" w:rsidP="00471ED0">
            <w:pPr>
              <w:pStyle w:val="ListParagraph"/>
              <w:numPr>
                <w:ilvl w:val="2"/>
                <w:numId w:val="2"/>
              </w:numPr>
              <w:spacing w:after="240"/>
              <w:ind w:firstLineChars="0"/>
              <w:rPr>
                <w:rFonts w:ascii="Times New Roman" w:hAnsi="Times New Roman" w:cs="Times New Roman"/>
                <w:lang w:val="en-GB"/>
              </w:rPr>
            </w:pPr>
            <w:r>
              <w:rPr>
                <w:rFonts w:ascii="Times New Roman" w:hAnsi="Times New Roman" w:cs="Times New Roman"/>
                <w:lang w:val="en-GB"/>
              </w:rPr>
              <w:t xml:space="preserve">RAN4 to select </w:t>
            </w:r>
            <w:r w:rsidRPr="00665F47">
              <w:rPr>
                <w:rFonts w:ascii="Times New Roman" w:hAnsi="Times New Roman" w:cs="Times New Roman"/>
                <w:lang w:val="en-GB"/>
              </w:rPr>
              <w:t>one NLOS channel model from NTN-TDL-A/B and one LOS</w:t>
            </w:r>
            <w:r>
              <w:rPr>
                <w:rFonts w:ascii="Times New Roman" w:hAnsi="Times New Roman" w:cs="Times New Roman"/>
                <w:lang w:val="en-GB"/>
              </w:rPr>
              <w:t xml:space="preserve"> </w:t>
            </w:r>
            <w:r w:rsidRPr="00665F47">
              <w:rPr>
                <w:rFonts w:ascii="Times New Roman" w:hAnsi="Times New Roman" w:cs="Times New Roman"/>
              </w:rPr>
              <w:t xml:space="preserve">channel model </w:t>
            </w:r>
            <w:r>
              <w:rPr>
                <w:rFonts w:ascii="Times New Roman" w:hAnsi="Times New Roman" w:cs="Times New Roman"/>
              </w:rPr>
              <w:t xml:space="preserve">from </w:t>
            </w:r>
            <w:r w:rsidRPr="00665F47">
              <w:rPr>
                <w:rFonts w:ascii="Times New Roman" w:hAnsi="Times New Roman" w:cs="Times New Roman"/>
              </w:rPr>
              <w:t>NTN-TDL-C/D.</w:t>
            </w:r>
          </w:p>
        </w:tc>
      </w:tr>
    </w:tbl>
    <w:p w14:paraId="43A6427A" w14:textId="77777777" w:rsidR="00471ED0" w:rsidRPr="00471ED0" w:rsidRDefault="00471ED0">
      <w:pPr>
        <w:rPr>
          <w:lang w:val="en-GB"/>
        </w:rPr>
      </w:pPr>
    </w:p>
    <w:p w14:paraId="208498FD" w14:textId="0AED96D4" w:rsidR="001117BC" w:rsidRDefault="00471ED0">
      <w:r>
        <w:t>As we discussed in our paper for general issues</w:t>
      </w:r>
      <w:r w:rsidR="00DD7037">
        <w:t xml:space="preserve"> [2]</w:t>
      </w:r>
      <w:r>
        <w:t>, The difference between NTN-TDL-A and B, NTN-TDL-C and D is not so much. Thus, we propose to down-select based on the further evaluation results</w:t>
      </w:r>
    </w:p>
    <w:p w14:paraId="24093270" w14:textId="7E28C530" w:rsidR="00471ED0" w:rsidRPr="00471ED0" w:rsidRDefault="00471ED0" w:rsidP="00471ED0">
      <w:pPr>
        <w:rPr>
          <w:b/>
          <w:bCs/>
          <w:i/>
          <w:iCs/>
        </w:rPr>
      </w:pPr>
      <w:r w:rsidRPr="00471ED0">
        <w:rPr>
          <w:b/>
          <w:bCs/>
          <w:i/>
          <w:iCs/>
        </w:rPr>
        <w:t xml:space="preserve">Observation 1: It seems </w:t>
      </w:r>
      <w:proofErr w:type="gramStart"/>
      <w:r w:rsidRPr="00471ED0">
        <w:rPr>
          <w:b/>
          <w:bCs/>
          <w:i/>
          <w:iCs/>
        </w:rPr>
        <w:t>no</w:t>
      </w:r>
      <w:proofErr w:type="gramEnd"/>
      <w:r w:rsidRPr="00471ED0">
        <w:rPr>
          <w:b/>
          <w:bCs/>
          <w:i/>
          <w:iCs/>
        </w:rPr>
        <w:t xml:space="preserve"> much difference between channel model NTN-TDL-A/C and NTN-TDL-B/D.</w:t>
      </w:r>
    </w:p>
    <w:p w14:paraId="0FE0AD5C" w14:textId="12C7A43E" w:rsidR="00471ED0" w:rsidRPr="00471ED0" w:rsidRDefault="00471ED0" w:rsidP="00471ED0">
      <w:pPr>
        <w:rPr>
          <w:b/>
          <w:bCs/>
          <w:i/>
          <w:iCs/>
        </w:rPr>
      </w:pPr>
      <w:r w:rsidRPr="00471ED0">
        <w:rPr>
          <w:b/>
          <w:bCs/>
          <w:i/>
          <w:iCs/>
        </w:rPr>
        <w:t>Proposal 3: Select one NLOS and LOS channel model for NTN demodulation requirement. Companies could deliver simulation results based on following options.</w:t>
      </w:r>
    </w:p>
    <w:p w14:paraId="39675E84" w14:textId="77777777" w:rsidR="00471ED0" w:rsidRPr="00471ED0" w:rsidRDefault="00471ED0" w:rsidP="00471ED0">
      <w:pPr>
        <w:rPr>
          <w:b/>
          <w:bCs/>
          <w:i/>
          <w:iCs/>
        </w:rPr>
      </w:pPr>
      <w:r w:rsidRPr="00471ED0">
        <w:rPr>
          <w:b/>
          <w:bCs/>
          <w:i/>
          <w:iCs/>
        </w:rPr>
        <w:tab/>
        <w:t>Option 1: NTN-TDL-A/C</w:t>
      </w:r>
    </w:p>
    <w:p w14:paraId="70362C85" w14:textId="72127029" w:rsidR="001117BC" w:rsidRPr="00A2073A" w:rsidRDefault="00471ED0">
      <w:pPr>
        <w:rPr>
          <w:b/>
          <w:bCs/>
          <w:i/>
          <w:iCs/>
        </w:rPr>
      </w:pPr>
      <w:r w:rsidRPr="00471ED0">
        <w:rPr>
          <w:b/>
          <w:bCs/>
          <w:i/>
          <w:iCs/>
        </w:rPr>
        <w:tab/>
        <w:t>Option 2: NTN-TDL-B/D</w:t>
      </w:r>
    </w:p>
    <w:p w14:paraId="43FD1E42" w14:textId="53B6B958" w:rsidR="001117BC" w:rsidRPr="00516F5F" w:rsidRDefault="001117BC" w:rsidP="00516F5F">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516F5F">
        <w:rPr>
          <w:rFonts w:ascii="Arial" w:eastAsia="MS Mincho" w:hAnsi="Arial" w:cs="Times New Roman"/>
          <w:sz w:val="32"/>
          <w:szCs w:val="20"/>
          <w:lang w:val="en-GB" w:eastAsia="ja-JP"/>
        </w:rPr>
        <w:t>2.</w:t>
      </w:r>
      <w:r w:rsidR="00516F5F">
        <w:rPr>
          <w:rFonts w:ascii="Arial" w:eastAsia="MS Mincho" w:hAnsi="Arial" w:cs="Times New Roman"/>
          <w:sz w:val="32"/>
          <w:szCs w:val="20"/>
          <w:lang w:val="en-GB" w:eastAsia="ja-JP"/>
        </w:rPr>
        <w:t>4</w:t>
      </w:r>
      <w:r w:rsidRPr="00516F5F">
        <w:rPr>
          <w:rFonts w:ascii="Arial" w:eastAsia="MS Mincho" w:hAnsi="Arial" w:cs="Times New Roman"/>
          <w:sz w:val="32"/>
          <w:szCs w:val="20"/>
          <w:lang w:val="en-GB" w:eastAsia="ja-JP"/>
        </w:rPr>
        <w:t xml:space="preserve"> Modulation order</w:t>
      </w:r>
    </w:p>
    <w:p w14:paraId="001BFB24" w14:textId="2E82F48B" w:rsidR="001117BC" w:rsidRDefault="00516F5F">
      <w:r>
        <w:rPr>
          <w:lang w:val="en-GB"/>
        </w:rPr>
        <w:t>Companies agreed on the following way forward for modulation order:</w:t>
      </w:r>
    </w:p>
    <w:tbl>
      <w:tblPr>
        <w:tblStyle w:val="TableGrid"/>
        <w:tblW w:w="0" w:type="auto"/>
        <w:tblLook w:val="04A0" w:firstRow="1" w:lastRow="0" w:firstColumn="1" w:lastColumn="0" w:noHBand="0" w:noVBand="1"/>
      </w:tblPr>
      <w:tblGrid>
        <w:gridCol w:w="9350"/>
      </w:tblGrid>
      <w:tr w:rsidR="00516F5F" w14:paraId="62C71BBD" w14:textId="77777777" w:rsidTr="00516F5F">
        <w:tc>
          <w:tcPr>
            <w:tcW w:w="9350" w:type="dxa"/>
          </w:tcPr>
          <w:p w14:paraId="66367653" w14:textId="77777777" w:rsidR="00516F5F" w:rsidRDefault="00516F5F" w:rsidP="00516F5F">
            <w:pPr>
              <w:pStyle w:val="ListParagraph"/>
              <w:numPr>
                <w:ilvl w:val="0"/>
                <w:numId w:val="2"/>
              </w:numPr>
              <w:spacing w:after="240"/>
              <w:ind w:firstLineChars="0"/>
              <w:rPr>
                <w:rFonts w:ascii="Times New Roman" w:hAnsi="Times New Roman" w:cs="Times New Roman"/>
                <w:lang w:val="en-GB"/>
              </w:rPr>
            </w:pPr>
            <w:r w:rsidRPr="00910589">
              <w:rPr>
                <w:rFonts w:ascii="Times New Roman" w:hAnsi="Times New Roman" w:cs="Times New Roman"/>
                <w:lang w:val="en-GB"/>
              </w:rPr>
              <w:t>Issue 3-3-3: Modulation order</w:t>
            </w:r>
          </w:p>
          <w:p w14:paraId="52662BA9" w14:textId="77777777" w:rsidR="00516F5F" w:rsidRDefault="00516F5F" w:rsidP="00516F5F">
            <w:pPr>
              <w:pStyle w:val="ListParagraph"/>
              <w:numPr>
                <w:ilvl w:val="1"/>
                <w:numId w:val="2"/>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6CD5D7DD" w14:textId="20A09075" w:rsidR="00516F5F" w:rsidRPr="00516F5F" w:rsidRDefault="00516F5F" w:rsidP="00516F5F">
            <w:pPr>
              <w:pStyle w:val="ListParagraph"/>
              <w:numPr>
                <w:ilvl w:val="2"/>
                <w:numId w:val="2"/>
              </w:numPr>
              <w:spacing w:after="240"/>
              <w:ind w:firstLineChars="0"/>
              <w:rPr>
                <w:rFonts w:ascii="Times New Roman" w:hAnsi="Times New Roman" w:cs="Times New Roman"/>
                <w:lang w:val="en-GB"/>
              </w:rPr>
            </w:pPr>
            <w:r>
              <w:rPr>
                <w:rFonts w:ascii="Times New Roman" w:hAnsi="Times New Roman" w:cs="Times New Roman"/>
                <w:lang w:val="en-GB"/>
              </w:rPr>
              <w:t>C</w:t>
            </w:r>
            <w:r w:rsidRPr="003F5292">
              <w:rPr>
                <w:rFonts w:ascii="Times New Roman" w:hAnsi="Times New Roman" w:cs="Times New Roman"/>
                <w:lang w:val="en-GB"/>
              </w:rPr>
              <w:t>onsider QPSK and 16QAM for PDSCH</w:t>
            </w:r>
            <w:r>
              <w:rPr>
                <w:rFonts w:ascii="Times New Roman" w:hAnsi="Times New Roman" w:cs="Times New Roman"/>
                <w:lang w:val="en-GB"/>
              </w:rPr>
              <w:t xml:space="preserve">. </w:t>
            </w:r>
            <w:r w:rsidRPr="003F5292">
              <w:rPr>
                <w:rFonts w:ascii="Times New Roman" w:hAnsi="Times New Roman" w:cs="Times New Roman"/>
                <w:lang w:val="en-GB"/>
              </w:rPr>
              <w:t>FFS on 64QAM</w:t>
            </w:r>
          </w:p>
        </w:tc>
      </w:tr>
    </w:tbl>
    <w:p w14:paraId="797C38BB" w14:textId="77777777" w:rsidR="00516F5F" w:rsidRDefault="00516F5F"/>
    <w:p w14:paraId="24DF1500" w14:textId="5608F548" w:rsidR="001117BC" w:rsidRDefault="00DD7037">
      <w:r>
        <w:t>As we discussed in our paper for general issues [2], c</w:t>
      </w:r>
      <w:r w:rsidRPr="00DD7037">
        <w:t>onsider QPSK, 16QAM and 64QAM for NTN UE demodulation requirement according to simulation result.</w:t>
      </w:r>
    </w:p>
    <w:p w14:paraId="30B6BE2C" w14:textId="3EC1610D" w:rsidR="00DD7037" w:rsidRPr="00DD7037" w:rsidRDefault="00DD7037">
      <w:pPr>
        <w:rPr>
          <w:b/>
          <w:bCs/>
          <w:i/>
          <w:iCs/>
        </w:rPr>
      </w:pPr>
      <w:r w:rsidRPr="00DD7037">
        <w:rPr>
          <w:b/>
          <w:bCs/>
          <w:i/>
          <w:iCs/>
        </w:rPr>
        <w:t>Proposal 4: Consider QPSK, 16QAM and 64QAM for NTN UE demodulation requirement according to simulation result.</w:t>
      </w:r>
    </w:p>
    <w:p w14:paraId="25EA7079" w14:textId="7D13EE0D" w:rsidR="001117BC" w:rsidRPr="00516F5F" w:rsidRDefault="001117BC" w:rsidP="00516F5F">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516F5F">
        <w:rPr>
          <w:rFonts w:ascii="Arial" w:eastAsia="MS Mincho" w:hAnsi="Arial" w:cs="Times New Roman"/>
          <w:sz w:val="32"/>
          <w:szCs w:val="20"/>
          <w:lang w:val="en-GB" w:eastAsia="ja-JP"/>
        </w:rPr>
        <w:t>2.</w:t>
      </w:r>
      <w:r w:rsidR="00516F5F" w:rsidRPr="00516F5F">
        <w:rPr>
          <w:rFonts w:ascii="Arial" w:eastAsia="MS Mincho" w:hAnsi="Arial" w:cs="Times New Roman"/>
          <w:sz w:val="32"/>
          <w:szCs w:val="20"/>
          <w:lang w:val="en-GB" w:eastAsia="ja-JP"/>
        </w:rPr>
        <w:t>5</w:t>
      </w:r>
      <w:r w:rsidRPr="00516F5F">
        <w:rPr>
          <w:rFonts w:ascii="Arial" w:eastAsia="MS Mincho" w:hAnsi="Arial" w:cs="Times New Roman"/>
          <w:sz w:val="32"/>
          <w:szCs w:val="20"/>
          <w:lang w:val="en-GB" w:eastAsia="ja-JP"/>
        </w:rPr>
        <w:t xml:space="preserve"> Antenna configuration</w:t>
      </w:r>
    </w:p>
    <w:p w14:paraId="7F9265D5" w14:textId="73A62984" w:rsidR="00DA5720" w:rsidRDefault="00516F5F">
      <w:r>
        <w:t>Regarding to the antenna configuration for DL transmission, 1Tx has been considered in the TR38.821</w:t>
      </w:r>
      <w:r w:rsidR="003533AB">
        <w:t xml:space="preserve"> </w:t>
      </w:r>
      <w:r w:rsidR="003533AB" w:rsidRPr="003533AB">
        <w:t>LLS simulation assumptions Table 6.1.2-1</w:t>
      </w:r>
      <w:r>
        <w:t xml:space="preserve">. In this case, we propose to consider 1Tx to be the baseline assumption, and </w:t>
      </w:r>
      <w:r w:rsidR="008377B6">
        <w:t xml:space="preserve">to </w:t>
      </w:r>
      <w:r>
        <w:t xml:space="preserve">assume 1T2R and 1T4R for different test cases. </w:t>
      </w:r>
    </w:p>
    <w:p w14:paraId="410678C9" w14:textId="58D0E490" w:rsidR="00DA5720" w:rsidRDefault="008377B6">
      <w:r w:rsidRPr="008377B6">
        <w:rPr>
          <w:b/>
          <w:bCs/>
          <w:i/>
          <w:iCs/>
        </w:rPr>
        <w:t>Proposal 5:</w:t>
      </w:r>
      <w:r>
        <w:t xml:space="preserve"> </w:t>
      </w:r>
      <w:r>
        <w:rPr>
          <w:b/>
          <w:bCs/>
          <w:i/>
          <w:iCs/>
        </w:rPr>
        <w:t>C</w:t>
      </w:r>
      <w:r w:rsidRPr="008377B6">
        <w:rPr>
          <w:b/>
          <w:bCs/>
          <w:i/>
          <w:iCs/>
        </w:rPr>
        <w:t xml:space="preserve">onsider 1Tx to be the baseline assumption, and to </w:t>
      </w:r>
      <w:r w:rsidR="003533AB">
        <w:rPr>
          <w:b/>
          <w:bCs/>
          <w:i/>
          <w:iCs/>
        </w:rPr>
        <w:t>define NTN UE demodulation requirements with</w:t>
      </w:r>
      <w:r w:rsidRPr="008377B6">
        <w:rPr>
          <w:b/>
          <w:bCs/>
          <w:i/>
          <w:iCs/>
        </w:rPr>
        <w:t xml:space="preserve"> </w:t>
      </w:r>
      <w:r w:rsidR="003533AB">
        <w:rPr>
          <w:b/>
          <w:bCs/>
          <w:i/>
          <w:iCs/>
        </w:rPr>
        <w:t>1Tx 2Rx and 1Tx 4Rx.</w:t>
      </w:r>
    </w:p>
    <w:p w14:paraId="3BB4E22A" w14:textId="77777777" w:rsidR="00DA5720" w:rsidRPr="0092180D" w:rsidRDefault="00DA5720" w:rsidP="00DA5720">
      <w:pPr>
        <w:pStyle w:val="Heading1"/>
        <w:jc w:val="both"/>
        <w:rPr>
          <w:lang w:val="en-US"/>
        </w:rPr>
      </w:pPr>
      <w:r>
        <w:rPr>
          <w:lang w:val="en-US"/>
        </w:rPr>
        <w:t>3</w:t>
      </w:r>
      <w:r w:rsidRPr="0092180D">
        <w:rPr>
          <w:lang w:val="en-US"/>
        </w:rPr>
        <w:tab/>
        <w:t>Summary</w:t>
      </w:r>
    </w:p>
    <w:p w14:paraId="392BE3BD" w14:textId="4FD55417" w:rsidR="00DA5720" w:rsidRDefault="00A2073A">
      <w:r>
        <w:t>In this contribution, we discussed some of the open issues for UE demodulation for NTN. Our proposals can be summarized as follows:</w:t>
      </w:r>
    </w:p>
    <w:p w14:paraId="535B05E2" w14:textId="77777777" w:rsidR="00A2073A" w:rsidRPr="007F5CE0" w:rsidRDefault="00A2073A" w:rsidP="00A2073A">
      <w:pPr>
        <w:rPr>
          <w:b/>
          <w:bCs/>
          <w:i/>
          <w:iCs/>
        </w:rPr>
      </w:pPr>
      <w:r w:rsidRPr="007F5CE0">
        <w:rPr>
          <w:b/>
          <w:bCs/>
          <w:i/>
          <w:iCs/>
        </w:rPr>
        <w:t>Proposal 1: Evaluate both scenarios and to see if there is non-negligible performance difference. If so, then separate performance requirement is needed.</w:t>
      </w:r>
    </w:p>
    <w:p w14:paraId="4E49CB61" w14:textId="77777777" w:rsidR="00A2073A" w:rsidRPr="000419E0" w:rsidRDefault="00A2073A" w:rsidP="00A2073A">
      <w:pPr>
        <w:rPr>
          <w:b/>
          <w:bCs/>
          <w:i/>
          <w:iCs/>
        </w:rPr>
      </w:pPr>
      <w:r w:rsidRPr="000419E0">
        <w:rPr>
          <w:b/>
          <w:bCs/>
          <w:i/>
          <w:iCs/>
        </w:rPr>
        <w:t>Proposal 2: Take option 1 as a start to do the initial evaluation.</w:t>
      </w:r>
    </w:p>
    <w:p w14:paraId="50999458" w14:textId="77777777" w:rsidR="00A2073A" w:rsidRPr="00471ED0" w:rsidRDefault="00A2073A" w:rsidP="00A2073A">
      <w:pPr>
        <w:rPr>
          <w:b/>
          <w:bCs/>
          <w:i/>
          <w:iCs/>
        </w:rPr>
      </w:pPr>
      <w:r w:rsidRPr="00471ED0">
        <w:rPr>
          <w:b/>
          <w:bCs/>
          <w:i/>
          <w:iCs/>
        </w:rPr>
        <w:lastRenderedPageBreak/>
        <w:t xml:space="preserve">Observation 1: It seems </w:t>
      </w:r>
      <w:proofErr w:type="gramStart"/>
      <w:r w:rsidRPr="00471ED0">
        <w:rPr>
          <w:b/>
          <w:bCs/>
          <w:i/>
          <w:iCs/>
        </w:rPr>
        <w:t>no</w:t>
      </w:r>
      <w:proofErr w:type="gramEnd"/>
      <w:r w:rsidRPr="00471ED0">
        <w:rPr>
          <w:b/>
          <w:bCs/>
          <w:i/>
          <w:iCs/>
        </w:rPr>
        <w:t xml:space="preserve"> much difference between channel model NTN-TDL-A/C and NTN-TDL-B/D.</w:t>
      </w:r>
    </w:p>
    <w:p w14:paraId="2EDCE0FE" w14:textId="77777777" w:rsidR="00A2073A" w:rsidRPr="00471ED0" w:rsidRDefault="00A2073A" w:rsidP="00A2073A">
      <w:pPr>
        <w:rPr>
          <w:b/>
          <w:bCs/>
          <w:i/>
          <w:iCs/>
        </w:rPr>
      </w:pPr>
      <w:r w:rsidRPr="00471ED0">
        <w:rPr>
          <w:b/>
          <w:bCs/>
          <w:i/>
          <w:iCs/>
        </w:rPr>
        <w:t>Proposal 3: Select one NLOS and LOS channel model for NTN demodulation requirement. Companies could deliver simulation results based on following options.</w:t>
      </w:r>
    </w:p>
    <w:p w14:paraId="6AB02EC3" w14:textId="77777777" w:rsidR="00A2073A" w:rsidRPr="00471ED0" w:rsidRDefault="00A2073A" w:rsidP="00A2073A">
      <w:pPr>
        <w:rPr>
          <w:b/>
          <w:bCs/>
          <w:i/>
          <w:iCs/>
        </w:rPr>
      </w:pPr>
      <w:r w:rsidRPr="00471ED0">
        <w:rPr>
          <w:b/>
          <w:bCs/>
          <w:i/>
          <w:iCs/>
        </w:rPr>
        <w:tab/>
        <w:t>Option 1: NTN-TDL-A/C</w:t>
      </w:r>
    </w:p>
    <w:p w14:paraId="03FEDB6A" w14:textId="77777777" w:rsidR="00A2073A" w:rsidRPr="00A2073A" w:rsidRDefault="00A2073A" w:rsidP="00A2073A">
      <w:pPr>
        <w:rPr>
          <w:b/>
          <w:bCs/>
          <w:i/>
          <w:iCs/>
        </w:rPr>
      </w:pPr>
      <w:r w:rsidRPr="00471ED0">
        <w:rPr>
          <w:b/>
          <w:bCs/>
          <w:i/>
          <w:iCs/>
        </w:rPr>
        <w:tab/>
        <w:t>Option 2: NTN-TDL-B/D</w:t>
      </w:r>
    </w:p>
    <w:p w14:paraId="639DFC28" w14:textId="77777777" w:rsidR="00A2073A" w:rsidRPr="00DD7037" w:rsidRDefault="00A2073A" w:rsidP="00A2073A">
      <w:pPr>
        <w:rPr>
          <w:b/>
          <w:bCs/>
          <w:i/>
          <w:iCs/>
        </w:rPr>
      </w:pPr>
      <w:r w:rsidRPr="00DD7037">
        <w:rPr>
          <w:b/>
          <w:bCs/>
          <w:i/>
          <w:iCs/>
        </w:rPr>
        <w:t>Proposal 4: Consider QPSK, 16QAM and 64QAM for NTN UE demodulation requirement according to simulation result.</w:t>
      </w:r>
    </w:p>
    <w:p w14:paraId="1BE67901" w14:textId="77777777" w:rsidR="00A2073A" w:rsidRDefault="00A2073A" w:rsidP="00A2073A">
      <w:r w:rsidRPr="008377B6">
        <w:rPr>
          <w:b/>
          <w:bCs/>
          <w:i/>
          <w:iCs/>
        </w:rPr>
        <w:t>Proposal 5:</w:t>
      </w:r>
      <w:r>
        <w:t xml:space="preserve"> </w:t>
      </w:r>
      <w:r>
        <w:rPr>
          <w:b/>
          <w:bCs/>
          <w:i/>
          <w:iCs/>
        </w:rPr>
        <w:t>C</w:t>
      </w:r>
      <w:r w:rsidRPr="008377B6">
        <w:rPr>
          <w:b/>
          <w:bCs/>
          <w:i/>
          <w:iCs/>
        </w:rPr>
        <w:t xml:space="preserve">onsider 1Tx to be the baseline assumption, and to </w:t>
      </w:r>
      <w:r>
        <w:rPr>
          <w:b/>
          <w:bCs/>
          <w:i/>
          <w:iCs/>
        </w:rPr>
        <w:t>define NTN UE demodulation requirements with</w:t>
      </w:r>
      <w:r w:rsidRPr="008377B6">
        <w:rPr>
          <w:b/>
          <w:bCs/>
          <w:i/>
          <w:iCs/>
        </w:rPr>
        <w:t xml:space="preserve"> </w:t>
      </w:r>
      <w:r>
        <w:rPr>
          <w:b/>
          <w:bCs/>
          <w:i/>
          <w:iCs/>
        </w:rPr>
        <w:t>1Tx 2Rx and 1Tx 4Rx.</w:t>
      </w:r>
    </w:p>
    <w:p w14:paraId="73CDF7C9" w14:textId="77777777" w:rsidR="00DA5720" w:rsidRPr="00BC31DC" w:rsidRDefault="00DA5720" w:rsidP="00DA5720">
      <w:pPr>
        <w:pStyle w:val="Heading1"/>
        <w:jc w:val="both"/>
        <w:rPr>
          <w:lang w:val="en-US"/>
        </w:rPr>
      </w:pPr>
      <w:r w:rsidRPr="0092180D">
        <w:rPr>
          <w:lang w:val="en-US"/>
        </w:rPr>
        <w:t>References</w:t>
      </w:r>
    </w:p>
    <w:p w14:paraId="2BEF95F8" w14:textId="4C5C5E25" w:rsidR="00DA5720" w:rsidRPr="00EA2F3B" w:rsidRDefault="00932D61">
      <w:pPr>
        <w:rPr>
          <w:rFonts w:ascii="Times New Roman" w:hAnsi="Times New Roman" w:cs="Times New Roman"/>
        </w:rPr>
      </w:pPr>
      <w:r w:rsidRPr="00EA2F3B">
        <w:rPr>
          <w:rFonts w:ascii="Times New Roman" w:hAnsi="Times New Roman" w:cs="Times New Roman"/>
        </w:rPr>
        <w:t>[1]        R4-2203042: WF on general and NTN UE demodulation requirements, Qualcomm Incorporated</w:t>
      </w:r>
    </w:p>
    <w:sectPr w:rsidR="00DA5720" w:rsidRPr="00EA2F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6" type="#_x0000_t75" style="width:112.9pt;height:75.25pt" o:bullet="t">
        <v:imagedata r:id="rId1" o:title=""/>
      </v:shape>
    </w:pict>
  </w:numPicBullet>
  <w:abstractNum w:abstractNumId="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7CE6F7A"/>
    <w:multiLevelType w:val="hybridMultilevel"/>
    <w:tmpl w:val="B08EC4AA"/>
    <w:lvl w:ilvl="0" w:tplc="6B6CA8A2">
      <w:start w:val="1"/>
      <w:numFmt w:val="bullet"/>
      <w:lvlText w:val="•"/>
      <w:lvlJc w:val="left"/>
      <w:pPr>
        <w:tabs>
          <w:tab w:val="num" w:pos="720"/>
        </w:tabs>
        <w:ind w:left="720" w:hanging="360"/>
      </w:pPr>
      <w:rPr>
        <w:rFonts w:ascii="Arial" w:hAnsi="Arial" w:hint="default"/>
      </w:rPr>
    </w:lvl>
    <w:lvl w:ilvl="1" w:tplc="BF522D74" w:tentative="1">
      <w:start w:val="1"/>
      <w:numFmt w:val="bullet"/>
      <w:lvlText w:val="•"/>
      <w:lvlJc w:val="left"/>
      <w:pPr>
        <w:tabs>
          <w:tab w:val="num" w:pos="1440"/>
        </w:tabs>
        <w:ind w:left="1440" w:hanging="360"/>
      </w:pPr>
      <w:rPr>
        <w:rFonts w:ascii="Arial" w:hAnsi="Arial" w:hint="default"/>
      </w:rPr>
    </w:lvl>
    <w:lvl w:ilvl="2" w:tplc="2312B9EC">
      <w:start w:val="1"/>
      <w:numFmt w:val="bullet"/>
      <w:lvlText w:val="•"/>
      <w:lvlJc w:val="left"/>
      <w:pPr>
        <w:tabs>
          <w:tab w:val="num" w:pos="2160"/>
        </w:tabs>
        <w:ind w:left="2160" w:hanging="360"/>
      </w:pPr>
      <w:rPr>
        <w:rFonts w:ascii="Arial" w:hAnsi="Arial" w:hint="default"/>
      </w:rPr>
    </w:lvl>
    <w:lvl w:ilvl="3" w:tplc="1570AAA2" w:tentative="1">
      <w:start w:val="1"/>
      <w:numFmt w:val="bullet"/>
      <w:lvlText w:val="•"/>
      <w:lvlJc w:val="left"/>
      <w:pPr>
        <w:tabs>
          <w:tab w:val="num" w:pos="2880"/>
        </w:tabs>
        <w:ind w:left="2880" w:hanging="360"/>
      </w:pPr>
      <w:rPr>
        <w:rFonts w:ascii="Arial" w:hAnsi="Arial" w:hint="default"/>
      </w:rPr>
    </w:lvl>
    <w:lvl w:ilvl="4" w:tplc="9416A73A" w:tentative="1">
      <w:start w:val="1"/>
      <w:numFmt w:val="bullet"/>
      <w:lvlText w:val="•"/>
      <w:lvlJc w:val="left"/>
      <w:pPr>
        <w:tabs>
          <w:tab w:val="num" w:pos="3600"/>
        </w:tabs>
        <w:ind w:left="3600" w:hanging="360"/>
      </w:pPr>
      <w:rPr>
        <w:rFonts w:ascii="Arial" w:hAnsi="Arial" w:hint="default"/>
      </w:rPr>
    </w:lvl>
    <w:lvl w:ilvl="5" w:tplc="E8FEF6B2" w:tentative="1">
      <w:start w:val="1"/>
      <w:numFmt w:val="bullet"/>
      <w:lvlText w:val="•"/>
      <w:lvlJc w:val="left"/>
      <w:pPr>
        <w:tabs>
          <w:tab w:val="num" w:pos="4320"/>
        </w:tabs>
        <w:ind w:left="4320" w:hanging="360"/>
      </w:pPr>
      <w:rPr>
        <w:rFonts w:ascii="Arial" w:hAnsi="Arial" w:hint="default"/>
      </w:rPr>
    </w:lvl>
    <w:lvl w:ilvl="6" w:tplc="D2EAD314" w:tentative="1">
      <w:start w:val="1"/>
      <w:numFmt w:val="bullet"/>
      <w:lvlText w:val="•"/>
      <w:lvlJc w:val="left"/>
      <w:pPr>
        <w:tabs>
          <w:tab w:val="num" w:pos="5040"/>
        </w:tabs>
        <w:ind w:left="5040" w:hanging="360"/>
      </w:pPr>
      <w:rPr>
        <w:rFonts w:ascii="Arial" w:hAnsi="Arial" w:hint="default"/>
      </w:rPr>
    </w:lvl>
    <w:lvl w:ilvl="7" w:tplc="37401622" w:tentative="1">
      <w:start w:val="1"/>
      <w:numFmt w:val="bullet"/>
      <w:lvlText w:val="•"/>
      <w:lvlJc w:val="left"/>
      <w:pPr>
        <w:tabs>
          <w:tab w:val="num" w:pos="5760"/>
        </w:tabs>
        <w:ind w:left="5760" w:hanging="360"/>
      </w:pPr>
      <w:rPr>
        <w:rFonts w:ascii="Arial" w:hAnsi="Arial" w:hint="default"/>
      </w:rPr>
    </w:lvl>
    <w:lvl w:ilvl="8" w:tplc="84CE490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419E0"/>
    <w:rsid w:val="0009798E"/>
    <w:rsid w:val="000A2B90"/>
    <w:rsid w:val="001117BC"/>
    <w:rsid w:val="00130402"/>
    <w:rsid w:val="00183984"/>
    <w:rsid w:val="003326DE"/>
    <w:rsid w:val="003533AB"/>
    <w:rsid w:val="003B373D"/>
    <w:rsid w:val="003D3CEE"/>
    <w:rsid w:val="00471ED0"/>
    <w:rsid w:val="00516F5F"/>
    <w:rsid w:val="0054030B"/>
    <w:rsid w:val="006A3DEC"/>
    <w:rsid w:val="006C4498"/>
    <w:rsid w:val="006D0FAE"/>
    <w:rsid w:val="00794F35"/>
    <w:rsid w:val="007F5CE0"/>
    <w:rsid w:val="008377B6"/>
    <w:rsid w:val="00932D61"/>
    <w:rsid w:val="009417ED"/>
    <w:rsid w:val="00A2073A"/>
    <w:rsid w:val="00B2696D"/>
    <w:rsid w:val="00D239DF"/>
    <w:rsid w:val="00D84612"/>
    <w:rsid w:val="00DA5720"/>
    <w:rsid w:val="00DC285C"/>
    <w:rsid w:val="00DD7037"/>
    <w:rsid w:val="00EA127F"/>
    <w:rsid w:val="00EA2F3B"/>
    <w:rsid w:val="00FF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A57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DA5720"/>
    <w:rPr>
      <w:rFonts w:ascii="Arial" w:eastAsia="MS Mincho" w:hAnsi="Arial" w:cs="Times New Roman"/>
      <w:sz w:val="36"/>
      <w:szCs w:val="20"/>
      <w:lang w:val="en-GB" w:eastAsia="ja-JP"/>
    </w:rPr>
  </w:style>
  <w:style w:type="table" w:styleId="TableGrid">
    <w:name w:val="Table Grid"/>
    <w:basedOn w:val="TableNormal"/>
    <w:uiPriority w:val="39"/>
    <w:rsid w:val="00EA1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EA127F"/>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EA127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9618">
      <w:bodyDiv w:val="1"/>
      <w:marLeft w:val="0"/>
      <w:marRight w:val="0"/>
      <w:marTop w:val="0"/>
      <w:marBottom w:val="0"/>
      <w:divBdr>
        <w:top w:val="none" w:sz="0" w:space="0" w:color="auto"/>
        <w:left w:val="none" w:sz="0" w:space="0" w:color="auto"/>
        <w:bottom w:val="none" w:sz="0" w:space="0" w:color="auto"/>
        <w:right w:val="none" w:sz="0" w:space="0" w:color="auto"/>
      </w:divBdr>
      <w:divsChild>
        <w:div w:id="545608627">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4</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21</cp:revision>
  <dcterms:created xsi:type="dcterms:W3CDTF">2022-02-07T03:26:00Z</dcterms:created>
  <dcterms:modified xsi:type="dcterms:W3CDTF">2022-02-14T17:04:00Z</dcterms:modified>
</cp:coreProperties>
</file>